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bookmarkStart w:id="0" w:name="_Toc508719903"/>
      <w:bookmarkStart w:id="1" w:name="_Toc508719231"/>
      <w:bookmarkStart w:id="2" w:name="_Toc508718913"/>
      <w:bookmarkStart w:id="3" w:name="_Toc508719438"/>
      <w:bookmarkStart w:id="4" w:name="_Toc508719650"/>
      <w:bookmarkStart w:id="5" w:name="_Toc508719544"/>
      <w:bookmarkStart w:id="6" w:name="_Toc508721329"/>
      <w:bookmarkStart w:id="7" w:name="_Toc508721428"/>
      <w:bookmarkStart w:id="8" w:name="_Toc508720004"/>
      <w:bookmarkStart w:id="9" w:name="_Toc508723061"/>
      <w:bookmarkStart w:id="10" w:name="_Toc508722943"/>
      <w:bookmarkStart w:id="11" w:name="_Toc508779807"/>
      <w:bookmarkStart w:id="12" w:name="_Toc508780381"/>
      <w:bookmarkStart w:id="13" w:name="_Toc508780280"/>
      <w:r>
        <w:rPr>
          <w:rFonts w:ascii="宋体" w:hAnsi="宋体"/>
          <w:b/>
          <w:sz w:val="44"/>
          <w:szCs w:val="44"/>
        </w:rPr>
        <w:t>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年硕士生分专业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复试方案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2"/>
      </w:pPr>
      <w:r>
        <w:t>024</w:t>
      </w:r>
      <w:r>
        <w:rPr>
          <w:rFonts w:hint="eastAsia"/>
        </w:rPr>
        <w:t>自动化学院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pStyle w:val="3"/>
        <w:rPr>
          <w:rFonts w:hint="eastAsia" w:cs="Times New Roman"/>
          <w:kern w:val="0"/>
        </w:rPr>
      </w:pPr>
      <w:bookmarkStart w:id="14" w:name="_Toc508721330"/>
      <w:bookmarkStart w:id="15" w:name="_Toc508719651"/>
      <w:bookmarkStart w:id="16" w:name="_Toc508718914"/>
      <w:bookmarkStart w:id="17" w:name="_Toc508723062"/>
      <w:bookmarkStart w:id="18" w:name="_Toc508719439"/>
      <w:bookmarkStart w:id="19" w:name="_Toc508719545"/>
      <w:bookmarkStart w:id="20" w:name="_Toc508721429"/>
      <w:bookmarkStart w:id="21" w:name="_Toc508722944"/>
      <w:bookmarkStart w:id="22" w:name="_Toc508780382"/>
      <w:bookmarkStart w:id="23" w:name="_Toc508719904"/>
      <w:bookmarkStart w:id="24" w:name="_Toc508720005"/>
      <w:bookmarkStart w:id="25" w:name="_Toc508780281"/>
      <w:bookmarkStart w:id="26" w:name="_Toc508719232"/>
      <w:bookmarkStart w:id="27" w:name="_Toc508779808"/>
      <w:r>
        <w:rPr>
          <w:rFonts w:hint="eastAsia" w:cs="Times New Roman"/>
          <w:kern w:val="0"/>
        </w:rPr>
        <w:t>系统科学（071100）（学术学位）：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复试形式：综合面试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面试内容：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）英语口语表达能力与对话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时间约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分钟（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</w:rPr>
        <w:t>分）；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）大学所学专业的主干课程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</w:rPr>
        <w:t>含高等数学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基础知识掌握情况（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hint="eastAsia" w:ascii="宋体" w:hAnsi="宋体" w:cs="宋体"/>
          <w:sz w:val="24"/>
          <w:szCs w:val="24"/>
        </w:rPr>
        <w:t>分）；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）综合素质和综合能力考查（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hint="eastAsia" w:ascii="宋体" w:hAnsi="宋体" w:cs="宋体"/>
          <w:sz w:val="24"/>
          <w:szCs w:val="24"/>
        </w:rPr>
        <w:t>分）。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成绩使用：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上述成绩计入复试总成绩。综合面试成绩</w:t>
      </w:r>
      <w:r>
        <w:rPr>
          <w:rFonts w:ascii="宋体" w:hAnsi="宋体" w:cs="宋体"/>
          <w:sz w:val="24"/>
          <w:szCs w:val="24"/>
        </w:rPr>
        <w:t>60</w:t>
      </w:r>
      <w:r>
        <w:rPr>
          <w:rFonts w:hint="eastAsia" w:ascii="宋体" w:hAnsi="宋体" w:cs="宋体"/>
          <w:sz w:val="24"/>
          <w:szCs w:val="24"/>
        </w:rPr>
        <w:t>分以上具备录取资格。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</w:p>
    <w:p>
      <w:pPr>
        <w:pStyle w:val="3"/>
        <w:rPr>
          <w:rFonts w:hint="eastAsia" w:cs="Times New Roman"/>
          <w:kern w:val="0"/>
        </w:rPr>
      </w:pPr>
      <w:r>
        <w:rPr>
          <w:rFonts w:hint="eastAsia" w:cs="Times New Roman"/>
          <w:kern w:val="0"/>
        </w:rPr>
        <w:t>控制科学与工程（081100）（学术学位）：</w:t>
      </w:r>
    </w:p>
    <w:p>
      <w:pPr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复试形式：综合面试</w:t>
      </w:r>
      <w:r>
        <w:rPr>
          <w:rFonts w:hint="eastAsia" w:ascii="宋体" w:hAnsi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）外语水平：包括口语、听力及专业英语；</w:t>
      </w:r>
      <w:r>
        <w:rPr>
          <w:rFonts w:hint="eastAsia" w:ascii="宋体" w:hAnsi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专业素质：以专业课和专业基础课为主，涉及“计算机控制”、“运动控制”、“过程控制”、“电气控制技术及PLC”、“单片机”、“电力电子技术”、“传感器原理及应用”等自动化专业核心课程的基本内容；</w:t>
      </w:r>
      <w:r>
        <w:rPr>
          <w:rFonts w:hint="eastAsia" w:ascii="宋体" w:hAnsi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）综合素质和实践能力。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综合面试满分100分，60分合格：其中专业素质占60%，综合素质和实践能力占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0%，外语水平占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0%。</w:t>
      </w:r>
    </w:p>
    <w:p>
      <w:pPr>
        <w:spacing w:line="360" w:lineRule="auto"/>
        <w:ind w:firstLine="480" w:firstLineChars="200"/>
        <w:rPr>
          <w:rFonts w:ascii="宋体" w:cs="宋体"/>
          <w:sz w:val="24"/>
          <w:szCs w:val="24"/>
        </w:rPr>
      </w:pPr>
    </w:p>
    <w:p>
      <w:pPr>
        <w:pStyle w:val="3"/>
        <w:rPr>
          <w:rFonts w:hint="eastAsia" w:cs="Times New Roman"/>
          <w:kern w:val="0"/>
        </w:rPr>
      </w:pPr>
      <w:r>
        <w:rPr>
          <w:rFonts w:hint="eastAsia" w:cs="Times New Roman"/>
          <w:kern w:val="0"/>
        </w:rPr>
        <w:t>控制工程（085210）(专业学位)：</w:t>
      </w:r>
    </w:p>
    <w:p>
      <w:pPr>
        <w:spacing w:line="360" w:lineRule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复试形式：综合面试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）外语水平：包括口语、听力及专业英语；</w:t>
      </w:r>
      <w:r>
        <w:rPr>
          <w:rFonts w:hint="eastAsia" w:ascii="宋体" w:hAnsi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专业素质：以专业课和专业基础课为主，涉及“计算机控制”、“运动控制”、“过程控制”、“电气控制技术及PLC”、“单片机”、“电力电子技术”、“传感器原理及应用”等自动化专业核心课程的基本内容；</w:t>
      </w:r>
      <w:r>
        <w:rPr>
          <w:rFonts w:hint="eastAsia" w:ascii="宋体" w:hAnsi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/>
          <w:color w:val="000000"/>
          <w:kern w:val="0"/>
          <w:sz w:val="24"/>
          <w:szCs w:val="24"/>
        </w:rPr>
        <w:t>（</w:t>
      </w:r>
      <w:r>
        <w:rPr>
          <w:rFonts w:ascii="宋体" w:hAnsi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）综合素质和实践能力。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综合面试满分100分，60分合格：其中专业素质占60%，综合素质和实践能力占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0%，外语水平占</w:t>
      </w:r>
      <w:r>
        <w:rPr>
          <w:rFonts w:ascii="宋体" w:hAnsi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color w:val="000000"/>
          <w:kern w:val="0"/>
          <w:sz w:val="24"/>
          <w:szCs w:val="24"/>
        </w:rPr>
        <w:t>0%。</w:t>
      </w:r>
    </w:p>
    <w:p>
      <w:bookmarkStart w:id="28" w:name="_GoBack"/>
      <w:bookmarkEnd w:id="2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20D1A"/>
    <w:rsid w:val="09020D1A"/>
    <w:rsid w:val="51DF4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2019-03-04T01:18:00Z</dcterms:created>
  <dc:creator>admin</dc:creator>
  <lastModifiedBy>admin</lastModifiedBy>
  <lastPrinted>2019-03-04T01:18:00Z</lastPrinted>
  <dcterms:modified xsi:type="dcterms:W3CDTF">2019-03-04T01:35:57Z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