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ajorEastAsia" w:hAnsiTheme="majorEastAsia" w:eastAsiaTheme="majorEastAsia" w:cstheme="majorEastAsia"/>
          <w:b/>
          <w:bCs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bookmarkStart w:id="0" w:name="_Toc3485"/>
      <w:bookmarkStart w:id="1" w:name="_Toc6690"/>
      <w:r>
        <w:rPr>
          <w:rFonts w:hint="eastAsia" w:asciiTheme="majorEastAsia" w:hAnsiTheme="majorEastAsia" w:eastAsiaTheme="majorEastAsia" w:cstheme="majorEastAsia"/>
          <w:b/>
          <w:bCs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2019年全国博士导师信息</w:t>
      </w:r>
      <w:r>
        <w:rPr>
          <w:rFonts w:hint="eastAsia" w:asciiTheme="majorEastAsia" w:hAnsiTheme="majorEastAsia" w:eastAsiaTheme="majorEastAsia" w:cstheme="majorEastAsia"/>
          <w:b/>
          <w:bCs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采集常见问题补充</w:t>
      </w:r>
      <w:r>
        <w:rPr>
          <w:rFonts w:hint="eastAsia" w:asciiTheme="majorEastAsia" w:hAnsiTheme="majorEastAsia" w:eastAsiaTheme="majorEastAsia" w:cstheme="majorEastAsia"/>
          <w:b/>
          <w:bCs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说明</w:t>
      </w:r>
      <w:bookmarkEnd w:id="0"/>
      <w:bookmarkEnd w:id="1"/>
    </w:p>
    <w:p>
      <w:pPr>
        <w:jc w:val="both"/>
        <w:rPr>
          <w:rFonts w:hint="default" w:asciiTheme="majorEastAsia" w:hAnsiTheme="majorEastAsia" w:eastAsiaTheme="majorEastAsia" w:cstheme="majorEastAsia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2019-11-19</w:t>
      </w:r>
    </w:p>
    <w:p>
      <w:pPr>
        <w:numPr>
          <w:ilvl w:val="0"/>
          <w:numId w:val="1"/>
        </w:numPr>
        <w:jc w:val="both"/>
        <w:rPr>
          <w:rFonts w:hint="eastAsia" w:asciiTheme="majorEastAsia" w:hAnsiTheme="majorEastAsia" w:eastAsiaTheme="majorEastAsia" w:cstheme="majorEastAsia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表1-1-1</w:t>
      </w:r>
    </w:p>
    <w:p>
      <w:pPr>
        <w:numPr>
          <w:ilvl w:val="1"/>
          <w:numId w:val="1"/>
        </w:numPr>
        <w:ind w:left="840" w:leftChars="0" w:hanging="420" w:firstLineChars="0"/>
        <w:jc w:val="both"/>
        <w:rPr>
          <w:rFonts w:hint="default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采集信息为“纳入统计范围内的博士导师截至到2019-8-31的信息”。</w:t>
      </w:r>
    </w:p>
    <w:p>
      <w:pPr>
        <w:numPr>
          <w:ilvl w:val="1"/>
          <w:numId w:val="1"/>
        </w:numPr>
        <w:ind w:left="840" w:leftChars="0" w:hanging="420" w:firstLineChars="0"/>
        <w:jc w:val="both"/>
        <w:rPr>
          <w:rFonts w:hint="default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“离退休、已离职，且不具有招生资格”的博士导师可不采集相关信息。</w:t>
      </w:r>
    </w:p>
    <w:p>
      <w:pPr>
        <w:numPr>
          <w:ilvl w:val="1"/>
          <w:numId w:val="1"/>
        </w:numPr>
        <w:ind w:left="840" w:leftChars="0" w:hanging="420" w:firstLineChars="0"/>
        <w:jc w:val="both"/>
        <w:rPr>
          <w:rFonts w:hint="default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“所属学院(单位)”为博士导师校内所属二级管理单位；兼职博导其所属学院（单位）填写为其挂靠单位；若内部不划分二级管理单位，可直接填写填报单位。</w:t>
      </w:r>
    </w:p>
    <w:p>
      <w:pPr>
        <w:numPr>
          <w:ilvl w:val="1"/>
          <w:numId w:val="1"/>
        </w:numPr>
        <w:ind w:left="840" w:leftChars="0" w:hanging="420" w:firstLineChars="0"/>
        <w:jc w:val="both"/>
        <w:rPr>
          <w:rFonts w:hint="default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最高学历学位信息填写中，若最高学历学位有多个的，填报以时间顺序排序最早学历学位的相关信息。</w:t>
      </w:r>
    </w:p>
    <w:p>
      <w:pPr>
        <w:numPr>
          <w:ilvl w:val="0"/>
          <w:numId w:val="1"/>
        </w:numPr>
        <w:ind w:left="0" w:leftChars="0" w:firstLine="0" w:firstLineChars="0"/>
        <w:jc w:val="both"/>
        <w:rPr>
          <w:rFonts w:hint="eastAsia" w:asciiTheme="majorEastAsia" w:hAnsiTheme="majorEastAsia" w:eastAsiaTheme="majorEastAsia" w:cstheme="majorEastAsia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表1-1-1（续1）</w:t>
      </w:r>
    </w:p>
    <w:p>
      <w:pPr>
        <w:numPr>
          <w:ilvl w:val="1"/>
          <w:numId w:val="1"/>
        </w:numPr>
        <w:ind w:left="840" w:leftChars="0" w:hanging="420" w:firstLineChars="0"/>
        <w:jc w:val="both"/>
        <w:rPr>
          <w:rFonts w:hint="default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采集信息为“纳入统计范围内的博士导师截至到2019-8-31的信息”。</w:t>
      </w:r>
    </w:p>
    <w:p>
      <w:pPr>
        <w:numPr>
          <w:ilvl w:val="1"/>
          <w:numId w:val="1"/>
        </w:numPr>
        <w:ind w:left="840" w:leftChars="0" w:hanging="420" w:firstLineChars="0"/>
        <w:jc w:val="both"/>
        <w:rPr>
          <w:rFonts w:hint="default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“</w:t>
      </w:r>
      <w:r>
        <w:rPr>
          <w:rFonts w:hint="default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参加工作日期</w:t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”信息，以人事档案中相关信息为准；外籍人员可将“来校时间”填入此栏中。</w:t>
      </w:r>
    </w:p>
    <w:p>
      <w:pPr>
        <w:numPr>
          <w:ilvl w:val="1"/>
          <w:numId w:val="1"/>
        </w:numPr>
        <w:ind w:left="840" w:leftChars="0" w:hanging="420" w:firstLineChars="0"/>
        <w:jc w:val="both"/>
        <w:rPr>
          <w:rFonts w:hint="default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“</w:t>
      </w:r>
      <w:r>
        <w:rPr>
          <w:rFonts w:hint="default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首次具有博士招生资格日期</w:t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”，一般以博士导师获得导师资格为准，若填报机构内有相关规定的，可以“首次招生时间”、“首次导师注册时间”信息填入。</w:t>
      </w:r>
    </w:p>
    <w:p>
      <w:pPr>
        <w:numPr>
          <w:ilvl w:val="1"/>
          <w:numId w:val="1"/>
        </w:numPr>
        <w:ind w:left="840" w:leftChars="0" w:hanging="420" w:firstLineChars="0"/>
        <w:jc w:val="both"/>
        <w:rPr>
          <w:rFonts w:hint="default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“是否在编”，离退休人员均为非在编人员。</w:t>
      </w:r>
    </w:p>
    <w:p>
      <w:pPr>
        <w:numPr>
          <w:ilvl w:val="0"/>
          <w:numId w:val="1"/>
        </w:numPr>
        <w:ind w:left="0" w:leftChars="0" w:firstLine="0" w:firstLineChars="0"/>
        <w:jc w:val="both"/>
        <w:rPr>
          <w:rFonts w:hint="eastAsia" w:asciiTheme="majorEastAsia" w:hAnsiTheme="majorEastAsia" w:eastAsiaTheme="majorEastAsia" w:cstheme="majorEastAsia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表1-1-1（续2）</w:t>
      </w:r>
    </w:p>
    <w:p>
      <w:pPr>
        <w:numPr>
          <w:ilvl w:val="1"/>
          <w:numId w:val="1"/>
        </w:numPr>
        <w:ind w:left="840" w:leftChars="0" w:hanging="420" w:firstLineChars="0"/>
        <w:jc w:val="both"/>
        <w:rPr>
          <w:rFonts w:hint="default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采集信息为“纳入统计范围内的博士导师截至到2019-8-31的信息”。</w:t>
      </w:r>
    </w:p>
    <w:p>
      <w:pPr>
        <w:numPr>
          <w:ilvl w:val="1"/>
          <w:numId w:val="1"/>
        </w:numPr>
        <w:ind w:left="840" w:leftChars="0" w:hanging="420" w:firstLineChars="0"/>
        <w:jc w:val="both"/>
        <w:rPr>
          <w:rFonts w:hint="default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“是否有国际合作”指博士导师担任导师资格以来是否有国际合作。</w:t>
      </w:r>
    </w:p>
    <w:p>
      <w:pPr>
        <w:numPr>
          <w:ilvl w:val="1"/>
          <w:numId w:val="1"/>
        </w:numPr>
        <w:ind w:left="840" w:leftChars="0" w:hanging="420" w:firstLineChars="0"/>
        <w:jc w:val="both"/>
        <w:rPr>
          <w:rFonts w:hint="default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“可指导博士生类型”、“现所属一级学科”、“现所属二级学科”、“可指导专业学位类型”均指博士生指导工作中，不考虑硕士生指导工作。</w:t>
      </w:r>
    </w:p>
    <w:p>
      <w:pPr>
        <w:numPr>
          <w:ilvl w:val="1"/>
          <w:numId w:val="1"/>
        </w:numPr>
        <w:ind w:left="840" w:leftChars="0" w:hanging="420" w:firstLineChars="0"/>
        <w:jc w:val="both"/>
        <w:rPr>
          <w:rFonts w:hint="default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“所指导填报单位硕士生在读人数”指2019年8月31日当日所指导的在读学历教育硕士生人数。</w:t>
      </w:r>
    </w:p>
    <w:p>
      <w:pPr>
        <w:numPr>
          <w:ilvl w:val="0"/>
          <w:numId w:val="1"/>
        </w:numPr>
        <w:ind w:left="0" w:leftChars="0" w:firstLine="0" w:firstLineChars="0"/>
        <w:jc w:val="both"/>
        <w:rPr>
          <w:rFonts w:hint="default" w:asciiTheme="majorEastAsia" w:hAnsiTheme="majorEastAsia" w:eastAsiaTheme="majorEastAsia" w:cstheme="majorEastAsia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表1-1-2</w:t>
      </w:r>
    </w:p>
    <w:p>
      <w:pPr>
        <w:numPr>
          <w:ilvl w:val="1"/>
          <w:numId w:val="1"/>
        </w:numPr>
        <w:ind w:left="840" w:leftChars="0" w:hanging="420" w:firstLineChars="0"/>
        <w:jc w:val="both"/>
        <w:rPr>
          <w:rFonts w:hint="default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采集信息为“纳入统计范围内的博士生截至到2019-10-31的信息”。</w:t>
      </w:r>
    </w:p>
    <w:p>
      <w:pPr>
        <w:numPr>
          <w:ilvl w:val="1"/>
          <w:numId w:val="1"/>
        </w:numPr>
        <w:ind w:left="840" w:leftChars="0" w:hanging="420" w:firstLineChars="0"/>
        <w:jc w:val="both"/>
        <w:rPr>
          <w:rFonts w:hint="default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留学生、港澳台学生及其他未使用招生指标计划的博士生，其“学生类型”均为“其他”。</w:t>
      </w:r>
    </w:p>
    <w:p>
      <w:pPr>
        <w:numPr>
          <w:ilvl w:val="1"/>
          <w:numId w:val="1"/>
        </w:numPr>
        <w:ind w:left="840" w:leftChars="0" w:hanging="420" w:firstLineChars="0"/>
        <w:jc w:val="both"/>
        <w:rPr>
          <w:rFonts w:hint="default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“学籍变动原因”中，当“转专业”与“转导师”同时发生时，填入“转导师”。</w:t>
      </w:r>
    </w:p>
    <w:p>
      <w:pPr>
        <w:numPr>
          <w:ilvl w:val="1"/>
          <w:numId w:val="1"/>
        </w:numPr>
        <w:ind w:left="840" w:leftChars="0" w:hanging="420" w:firstLineChars="0"/>
        <w:jc w:val="both"/>
        <w:rPr>
          <w:rFonts w:hint="default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因“未分配导师”、“未完成转导师”、“导师已离职或退休且不具有招生资格”的博士生，“导师唯一识别码”统一填入“学校教育事业统计代码+qtds”。</w:t>
      </w:r>
    </w:p>
    <w:p>
      <w:pPr>
        <w:numPr>
          <w:ilvl w:val="1"/>
          <w:numId w:val="1"/>
        </w:numPr>
        <w:ind w:left="840" w:leftChars="0" w:hanging="420" w:firstLineChars="0"/>
        <w:jc w:val="both"/>
        <w:rPr>
          <w:rFonts w:hint="default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“合作导师唯一识别码”是否录入由学校（机构）自定，建议录入。</w:t>
      </w:r>
    </w:p>
    <w:p>
      <w:pPr>
        <w:numPr>
          <w:ilvl w:val="0"/>
          <w:numId w:val="1"/>
        </w:numPr>
        <w:ind w:left="0" w:leftChars="0" w:firstLine="0" w:firstLineChars="0"/>
        <w:jc w:val="both"/>
        <w:rPr>
          <w:rFonts w:hint="eastAsia" w:asciiTheme="majorEastAsia" w:hAnsiTheme="majorEastAsia" w:eastAsiaTheme="majorEastAsia" w:cstheme="majorEastAsia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表1-2-1</w:t>
      </w:r>
    </w:p>
    <w:p>
      <w:pPr>
        <w:numPr>
          <w:ilvl w:val="1"/>
          <w:numId w:val="1"/>
        </w:numPr>
        <w:ind w:left="840" w:leftChars="0" w:hanging="420" w:firstLineChars="0"/>
        <w:jc w:val="both"/>
        <w:rPr>
          <w:rFonts w:hint="default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采集信息为“纳入统计范围内的博士导师在2018-9-1至2019-8-31间主持项目信息”。</w:t>
      </w:r>
    </w:p>
    <w:p>
      <w:pPr>
        <w:numPr>
          <w:ilvl w:val="1"/>
          <w:numId w:val="1"/>
        </w:numPr>
        <w:ind w:left="840" w:leftChars="0" w:hanging="420" w:firstLineChars="0"/>
        <w:jc w:val="both"/>
        <w:rPr>
          <w:rFonts w:hint="default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本表涉及所有学校（机构）内主持项目（非子课题），若大型项目分拆后委托到学校（机构），也算独立主持项目，纳入统计。</w:t>
      </w:r>
    </w:p>
    <w:p>
      <w:pPr>
        <w:numPr>
          <w:ilvl w:val="1"/>
          <w:numId w:val="1"/>
        </w:numPr>
        <w:ind w:left="840" w:leftChars="0" w:hanging="420" w:firstLineChars="0"/>
        <w:jc w:val="both"/>
        <w:rPr>
          <w:rFonts w:hint="default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“填表单位排序”，可统一填为“1”。</w:t>
      </w:r>
    </w:p>
    <w:p>
      <w:pPr>
        <w:numPr>
          <w:ilvl w:val="1"/>
          <w:numId w:val="1"/>
        </w:numPr>
        <w:ind w:left="840" w:leftChars="0" w:hanging="420" w:firstLineChars="0"/>
        <w:jc w:val="both"/>
        <w:rPr>
          <w:rFonts w:hint="default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涉及同一位导师的多个项目，录入多条。</w:t>
      </w:r>
    </w:p>
    <w:p>
      <w:pPr>
        <w:numPr>
          <w:ilvl w:val="0"/>
          <w:numId w:val="1"/>
        </w:numPr>
        <w:ind w:left="0" w:leftChars="0" w:firstLine="0" w:firstLineChars="0"/>
        <w:jc w:val="both"/>
        <w:rPr>
          <w:rFonts w:hint="eastAsia" w:asciiTheme="majorEastAsia" w:hAnsiTheme="majorEastAsia" w:eastAsiaTheme="majorEastAsia" w:cstheme="majorEastAsia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其余表格</w:t>
      </w:r>
    </w:p>
    <w:p>
      <w:pPr>
        <w:numPr>
          <w:ilvl w:val="1"/>
          <w:numId w:val="1"/>
        </w:numPr>
        <w:ind w:left="840" w:leftChars="0" w:hanging="420" w:firstLineChars="0"/>
        <w:jc w:val="both"/>
        <w:rPr>
          <w:rFonts w:hint="default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所有成果统计时间段为“2018-9-1”至“2019-8-31”日。</w:t>
      </w:r>
    </w:p>
    <w:p>
      <w:pPr>
        <w:numPr>
          <w:ilvl w:val="1"/>
          <w:numId w:val="1"/>
        </w:numPr>
        <w:ind w:left="840" w:leftChars="0" w:hanging="420" w:firstLineChars="0"/>
        <w:jc w:val="both"/>
        <w:rPr>
          <w:rFonts w:hint="default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若存在同一导师多条业绩的，录入多条。</w:t>
      </w:r>
      <w:bookmarkStart w:id="2" w:name="_GoBack"/>
      <w:bookmarkEnd w:id="2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CF3E8F"/>
    <w:multiLevelType w:val="multilevel"/>
    <w:tmpl w:val="3BCF3E8F"/>
    <w:lvl w:ilvl="0" w:tentative="0">
      <w:start w:val="1"/>
      <w:numFmt w:val="decimal"/>
      <w:suff w:val="nothing"/>
      <w:lvlText w:val="%1、"/>
      <w:lvlJc w:val="left"/>
    </w:lvl>
    <w:lvl w:ilvl="1" w:tentative="0">
      <w:start w:val="1"/>
      <w:numFmt w:val="decimal"/>
      <w:lvlText w:val="(%2)"/>
      <w:lvlJc w:val="left"/>
      <w:pPr>
        <w:tabs>
          <w:tab w:val="left" w:pos="840"/>
        </w:tabs>
        <w:ind w:left="840" w:leftChars="0" w:hanging="420" w:firstLineChars="0"/>
      </w:pPr>
      <w:rPr>
        <w:rFonts w:hint="default"/>
      </w:rPr>
    </w:lvl>
    <w:lvl w:ilvl="2" w:tentative="0">
      <w:start w:val="1"/>
      <w:numFmt w:val="decimalEnclosedCircleChinese"/>
      <w:lvlText w:val="%3"/>
      <w:lvlJc w:val="left"/>
      <w:pPr>
        <w:tabs>
          <w:tab w:val="left" w:pos="1260"/>
        </w:tabs>
        <w:ind w:left="1260" w:leftChars="0" w:hanging="420" w:firstLineChars="0"/>
      </w:pPr>
      <w:rPr>
        <w:rFonts w:hint="default"/>
      </w:rPr>
    </w:lvl>
    <w:lvl w:ilvl="3" w:tentative="0">
      <w:start w:val="1"/>
      <w:numFmt w:val="decimal"/>
      <w:lvlText w:val="%4)"/>
      <w:lvlJc w:val="left"/>
      <w:pPr>
        <w:tabs>
          <w:tab w:val="left" w:pos="1680"/>
        </w:tabs>
        <w:ind w:left="1680" w:leftChars="0" w:hanging="420" w:firstLineChars="0"/>
      </w:pPr>
      <w:rPr>
        <w:rFonts w:hint="default"/>
      </w:rPr>
    </w:lvl>
    <w:lvl w:ilvl="4" w:tentative="0">
      <w:start w:val="1"/>
      <w:numFmt w:val="lowerLetter"/>
      <w:lvlText w:val="%5."/>
      <w:lvlJc w:val="left"/>
      <w:pPr>
        <w:tabs>
          <w:tab w:val="left" w:pos="2100"/>
        </w:tabs>
        <w:ind w:left="2100" w:leftChars="0" w:hanging="420" w:firstLineChars="0"/>
      </w:pPr>
      <w:rPr>
        <w:rFonts w:hint="default"/>
      </w:rPr>
    </w:lvl>
    <w:lvl w:ilvl="5" w:tentative="0">
      <w:start w:val="1"/>
      <w:numFmt w:val="lowerLetter"/>
      <w:lvlText w:val="%6)"/>
      <w:lvlJc w:val="left"/>
      <w:pPr>
        <w:tabs>
          <w:tab w:val="left" w:pos="2520"/>
        </w:tabs>
        <w:ind w:left="2520" w:leftChars="0" w:hanging="420" w:firstLineChars="0"/>
      </w:pPr>
      <w:rPr>
        <w:rFonts w:hint="default"/>
      </w:rPr>
    </w:lvl>
    <w:lvl w:ilvl="6" w:tentative="0">
      <w:start w:val="1"/>
      <w:numFmt w:val="lowerRoman"/>
      <w:lvlText w:val="%7."/>
      <w:lvlJc w:val="left"/>
      <w:pPr>
        <w:tabs>
          <w:tab w:val="left" w:pos="2940"/>
        </w:tabs>
        <w:ind w:left="2940" w:leftChars="0" w:hanging="420" w:firstLineChars="0"/>
      </w:pPr>
      <w:rPr>
        <w:rFonts w:hint="default"/>
      </w:rPr>
    </w:lvl>
    <w:lvl w:ilvl="7" w:tentative="0">
      <w:start w:val="1"/>
      <w:numFmt w:val="lowerRoman"/>
      <w:lvlText w:val="%8)"/>
      <w:lvlJc w:val="left"/>
      <w:pPr>
        <w:tabs>
          <w:tab w:val="left" w:pos="3360"/>
        </w:tabs>
        <w:ind w:left="3360" w:leftChars="0" w:hanging="420" w:firstLineChars="0"/>
      </w:pPr>
      <w:rPr>
        <w:rFonts w:hint="default"/>
      </w:rPr>
    </w:lvl>
    <w:lvl w:ilvl="8" w:tentative="0">
      <w:start w:val="1"/>
      <w:numFmt w:val="lowerLetter"/>
      <w:lvlText w:val="%9."/>
      <w:lvlJc w:val="left"/>
      <w:pPr>
        <w:tabs>
          <w:tab w:val="left" w:pos="3780"/>
        </w:tabs>
        <w:ind w:left="3780" w:leftChars="0" w:hanging="420" w:firstLineChars="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9076880"/>
    <w:rsid w:val="09076880"/>
    <w:rsid w:val="28811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Office_11.3.0.8632_F1E327BC-269C-435d-A152-05C5408002CA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2019-11-19T05:21:00Z</dcterms:created>
  <dc:creator>叶恪_</dc:creator>
  <cp:lastModifiedBy>叶恪_</cp:lastModifiedBy>
  <dcterms:modified xsi:type="dcterms:W3CDTF">2019-11-19T09:11:57Z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2052-11.3.0.8632</vt:lpwstr>
  </property>
</Properties>
</file>